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BD0E4">
      <w:pPr>
        <w:spacing w:after="312" w:afterLines="100" w:line="560" w:lineRule="exact"/>
        <w:ind w:firstLine="0" w:firstLineChars="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2</w:t>
      </w:r>
    </w:p>
    <w:p w14:paraId="1EF880FB">
      <w:pPr>
        <w:spacing w:after="312" w:afterLines="100"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高校实验室安全风险评价表</w:t>
      </w:r>
    </w:p>
    <w:tbl>
      <w:tblPr>
        <w:tblStyle w:val="3"/>
        <w:tblW w:w="895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7478"/>
      </w:tblGrid>
      <w:tr w14:paraId="5A60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</w:trPr>
        <w:tc>
          <w:tcPr>
            <w:tcW w:w="1481" w:type="dxa"/>
          </w:tcPr>
          <w:p w14:paraId="2EC6CF0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每项计分</w:t>
            </w:r>
          </w:p>
        </w:tc>
        <w:tc>
          <w:tcPr>
            <w:tcW w:w="7478" w:type="dxa"/>
          </w:tcPr>
          <w:p w14:paraId="1A3BD13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风险源</w:t>
            </w:r>
          </w:p>
        </w:tc>
      </w:tr>
      <w:tr w14:paraId="650F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1" w:type="dxa"/>
          </w:tcPr>
          <w:p w14:paraId="5174E84F">
            <w:pPr>
              <w:spacing w:line="240" w:lineRule="auto"/>
              <w:ind w:firstLine="0" w:firstLineChars="0"/>
              <w:rPr>
                <w:rFonts w:hint="default" w:eastAsia="仿宋_GB2312" w:cs="Times New Roman"/>
                <w:color w:val="FF0000"/>
                <w:kern w:val="0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FF0000"/>
                <w:kern w:val="0"/>
                <w:szCs w:val="24"/>
                <w:lang w:val="en-US" w:eastAsia="zh-CN"/>
              </w:rPr>
              <w:t>75分</w:t>
            </w:r>
          </w:p>
        </w:tc>
        <w:tc>
          <w:tcPr>
            <w:tcW w:w="7478" w:type="dxa"/>
          </w:tcPr>
          <w:p w14:paraId="14765AF2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color w:val="FF0000"/>
                <w:kern w:val="0"/>
                <w:szCs w:val="24"/>
              </w:rPr>
            </w:pPr>
            <w:r>
              <w:rPr>
                <w:rFonts w:hint="eastAsia" w:eastAsia="仿宋_GB2312" w:cs="Times New Roman"/>
                <w:color w:val="FF0000"/>
                <w:kern w:val="0"/>
                <w:szCs w:val="24"/>
                <w:lang w:val="en-US" w:eastAsia="zh-CN"/>
              </w:rPr>
              <w:t>存储第二类精神药品；存储易燃易爆及易制爆化学品总量为20-50kg（L）；存储有毒、易燃气体总量为3~6（不含）瓶；</w:t>
            </w:r>
          </w:p>
        </w:tc>
      </w:tr>
      <w:tr w14:paraId="75AF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1" w:type="dxa"/>
          </w:tcPr>
          <w:p w14:paraId="4041E5E1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25分</w:t>
            </w:r>
          </w:p>
          <w:p w14:paraId="39571593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</w:p>
        </w:tc>
        <w:tc>
          <w:tcPr>
            <w:tcW w:w="7478" w:type="dxa"/>
          </w:tcPr>
          <w:p w14:paraId="5847DFBE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存储易燃易爆化学品总量在5~20kg或5~20L；</w:t>
            </w:r>
          </w:p>
          <w:p w14:paraId="3B19CEC7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存储一般危化品总量50~100kg或50~100L；</w:t>
            </w:r>
          </w:p>
          <w:p w14:paraId="51F9A913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存储有毒、易燃气体总量为2瓶；</w:t>
            </w:r>
          </w:p>
          <w:p w14:paraId="4366271F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使用III类射线设备的数量≥2台；</w:t>
            </w:r>
          </w:p>
          <w:p w14:paraId="6CEA480D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使用简单压力容器的数量≥3台；</w:t>
            </w:r>
          </w:p>
          <w:p w14:paraId="1C753FFA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实验室使用危险机加工装置的数量≥3台；</w:t>
            </w:r>
          </w:p>
          <w:p w14:paraId="777944C1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实验室使用加热设备数量≥6台；</w:t>
            </w:r>
          </w:p>
          <w:p w14:paraId="1E2EFC1C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实验室每月危险废物产生量≥100 L或kg；</w:t>
            </w:r>
          </w:p>
          <w:p w14:paraId="5DFB4EB4">
            <w:pPr>
              <w:pStyle w:val="5"/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color w:val="FF0000"/>
                <w:kern w:val="0"/>
                <w:szCs w:val="24"/>
                <w:lang w:val="en-US" w:eastAsia="zh-CN"/>
              </w:rPr>
              <w:t>其它院系认定因素</w:t>
            </w:r>
          </w:p>
        </w:tc>
      </w:tr>
      <w:tr w14:paraId="7F2A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113C4DB7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10分</w:t>
            </w:r>
          </w:p>
        </w:tc>
        <w:tc>
          <w:tcPr>
            <w:tcW w:w="7478" w:type="dxa"/>
          </w:tcPr>
          <w:p w14:paraId="6F83C7AE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使用超过人体安全电压（36V）的实验；</w:t>
            </w:r>
          </w:p>
          <w:p w14:paraId="1F1292EF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涉及合成放热实验；</w:t>
            </w:r>
          </w:p>
          <w:p w14:paraId="51A03174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涉及压力实验；</w:t>
            </w:r>
          </w:p>
          <w:p w14:paraId="0C45D55C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产生易燃气体的实验；</w:t>
            </w:r>
          </w:p>
          <w:p w14:paraId="6565842B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涉及持续加热实验；</w:t>
            </w:r>
          </w:p>
          <w:p w14:paraId="62CB766D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使用一般</w:t>
            </w:r>
            <w:r>
              <w:rPr>
                <w:rFonts w:hint="eastAsia" w:eastAsia="仿宋_GB2312" w:cs="Times New Roman"/>
                <w:kern w:val="0"/>
                <w:szCs w:val="24"/>
              </w:rPr>
              <w:t>实验室自制设备</w:t>
            </w:r>
            <w:r>
              <w:rPr>
                <w:rFonts w:eastAsia="仿宋_GB2312" w:cs="Times New Roman"/>
                <w:kern w:val="0"/>
                <w:szCs w:val="24"/>
              </w:rPr>
              <w:t>；</w:t>
            </w:r>
          </w:p>
          <w:p w14:paraId="237AE7EF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存储易燃易爆化学品＜5kg或5L；</w:t>
            </w:r>
          </w:p>
          <w:p w14:paraId="6348C4B8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实验室存储一般危化品总量＜50kg或50L；</w:t>
            </w:r>
          </w:p>
          <w:p w14:paraId="38D2C311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存储有毒、易燃气体1瓶；</w:t>
            </w:r>
          </w:p>
          <w:p w14:paraId="234B5D69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存储或使用有活性的病原微生物，对人或其他动物感染性较弱，或感染后易治愈；</w:t>
            </w:r>
          </w:p>
          <w:p w14:paraId="79B91FD1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使用简单压力容器1~2台；</w:t>
            </w:r>
          </w:p>
          <w:p w14:paraId="4FECCBED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使用III类射线设备1台；</w:t>
            </w:r>
          </w:p>
          <w:p w14:paraId="728F72BA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使用危险机加工装置1~2台；</w:t>
            </w:r>
          </w:p>
          <w:p w14:paraId="637430E5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使用一般机加工装置的数量≥5台；</w:t>
            </w:r>
          </w:p>
          <w:p w14:paraId="10A0F632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实验室一般用电设备负载≥80%设计负载；</w:t>
            </w:r>
          </w:p>
          <w:p w14:paraId="3E74C5D7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使用2、2M、1、1M类激光设备的数量≥3台；</w:t>
            </w:r>
          </w:p>
          <w:p w14:paraId="293A9B30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实验室每月危险废物产生量为20~100 L或kg；</w:t>
            </w:r>
          </w:p>
          <w:p w14:paraId="177A918D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</w:t>
            </w:r>
            <w:r>
              <w:rPr>
                <w:rFonts w:hint="eastAsia" w:eastAsia="仿宋_GB2312" w:cs="Times New Roman"/>
                <w:kern w:val="0"/>
                <w:szCs w:val="24"/>
              </w:rPr>
              <w:t>加热设备数量</w:t>
            </w:r>
            <w:r>
              <w:rPr>
                <w:rFonts w:eastAsia="仿宋_GB2312" w:cs="Times New Roman"/>
                <w:kern w:val="0"/>
                <w:szCs w:val="24"/>
              </w:rPr>
              <w:t>3~5台；</w:t>
            </w:r>
          </w:p>
          <w:p w14:paraId="2B260BBD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实验室使用每1台明火设备；</w:t>
            </w:r>
          </w:p>
          <w:p w14:paraId="0062BF99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color w:val="FF0000"/>
                <w:kern w:val="0"/>
                <w:szCs w:val="24"/>
                <w:lang w:val="en-US" w:eastAsia="zh-CN"/>
              </w:rPr>
              <w:t>其它院系认定因素</w:t>
            </w:r>
          </w:p>
        </w:tc>
      </w:tr>
      <w:tr w14:paraId="3102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481" w:type="dxa"/>
          </w:tcPr>
          <w:p w14:paraId="000FBD7A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5分</w:t>
            </w:r>
          </w:p>
        </w:tc>
        <w:tc>
          <w:tcPr>
            <w:tcW w:w="7478" w:type="dxa"/>
          </w:tcPr>
          <w:p w14:paraId="76DC7C8A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存储普通气体1~4瓶；</w:t>
            </w:r>
          </w:p>
          <w:p w14:paraId="7EB7294D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使用一般机加工装置1~4台；</w:t>
            </w:r>
          </w:p>
          <w:p w14:paraId="6C202FE4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使用2、2M、1、1M类激光设备1~2台；</w:t>
            </w:r>
          </w:p>
          <w:p w14:paraId="59D9AC8D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实验室每月危险废物产生量＜20 L或kg；</w:t>
            </w:r>
          </w:p>
          <w:p w14:paraId="537810CE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实验室使用加热设备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数量</w:t>
            </w:r>
            <w:r>
              <w:rPr>
                <w:rFonts w:eastAsia="仿宋_GB2312" w:cs="Times New Roman"/>
                <w:kern w:val="0"/>
                <w:szCs w:val="24"/>
              </w:rPr>
              <w:t>1~2台；</w:t>
            </w:r>
          </w:p>
          <w:p w14:paraId="12A14627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存放危险化学品的防爆冰箱或经防爆改造冰箱数量每1台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</w:p>
          <w:p w14:paraId="1E102C2C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实验室使用每1台快捷电热设备；</w:t>
            </w:r>
          </w:p>
          <w:p w14:paraId="5B23577F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color w:val="FF0000"/>
                <w:kern w:val="0"/>
                <w:szCs w:val="24"/>
                <w:lang w:val="en-US" w:eastAsia="zh-CN"/>
              </w:rPr>
              <w:t>其它院系认定因素</w:t>
            </w:r>
          </w:p>
        </w:tc>
      </w:tr>
    </w:tbl>
    <w:p w14:paraId="17A7FAAE">
      <w:pPr>
        <w:spacing w:line="240" w:lineRule="auto"/>
        <w:ind w:firstLine="0" w:firstLineChars="0"/>
        <w:rPr>
          <w:rFonts w:eastAsia="仿宋_GB2312" w:cs="Times New Roman"/>
        </w:rPr>
      </w:pPr>
      <w:r>
        <w:rPr>
          <w:rFonts w:eastAsia="仿宋_GB2312" w:cs="Times New Roman"/>
        </w:rPr>
        <w:t>注：</w:t>
      </w:r>
    </w:p>
    <w:p w14:paraId="3AB335AA">
      <w:pPr>
        <w:spacing w:line="240" w:lineRule="auto"/>
        <w:ind w:firstLine="480"/>
        <w:rPr>
          <w:rFonts w:eastAsia="仿宋_GB2312" w:cs="Times New Roman"/>
        </w:rPr>
      </w:pPr>
      <w:r>
        <w:rPr>
          <w:rFonts w:eastAsia="仿宋_GB2312" w:cs="Times New Roman"/>
        </w:rPr>
        <w:t>1.表中所称实验室房间均以面积为50m</w:t>
      </w:r>
      <w:r>
        <w:rPr>
          <w:rFonts w:eastAsia="仿宋_GB2312" w:cs="Times New Roman"/>
          <w:vertAlign w:val="superscript"/>
        </w:rPr>
        <w:t>2</w:t>
      </w:r>
      <w:r>
        <w:rPr>
          <w:rFonts w:eastAsia="仿宋_GB2312" w:cs="Times New Roman"/>
        </w:rPr>
        <w:t>计，其他面积可按比例调整评价内容；</w:t>
      </w:r>
    </w:p>
    <w:p w14:paraId="392783B6">
      <w:pPr>
        <w:spacing w:line="240" w:lineRule="auto"/>
        <w:ind w:firstLine="480"/>
        <w:rPr>
          <w:rFonts w:hint="default" w:eastAsia="仿宋_GB2312" w:cs="Times New Roman"/>
          <w:lang w:val="en-US" w:eastAsia="zh-CN"/>
        </w:rPr>
      </w:pPr>
      <w:r>
        <w:rPr>
          <w:rFonts w:eastAsia="仿宋_GB2312" w:cs="Times New Roman"/>
        </w:rPr>
        <w:t>2.表中符合任</w:t>
      </w:r>
      <w:r>
        <w:rPr>
          <w:rFonts w:hint="eastAsia" w:eastAsia="仿宋_GB2312" w:cs="Times New Roman"/>
        </w:rPr>
        <w:t>1</w:t>
      </w:r>
      <w:r>
        <w:rPr>
          <w:rFonts w:eastAsia="仿宋_GB2312" w:cs="Times New Roman"/>
        </w:rPr>
        <w:t>种情况计</w:t>
      </w:r>
      <w:r>
        <w:rPr>
          <w:rFonts w:hint="eastAsia" w:eastAsia="仿宋_GB2312" w:cs="Times New Roman"/>
        </w:rPr>
        <w:t>相应分数</w:t>
      </w:r>
      <w:r>
        <w:rPr>
          <w:rFonts w:eastAsia="仿宋_GB2312" w:cs="Times New Roman"/>
        </w:rPr>
        <w:t>，符合多种情况</w:t>
      </w:r>
      <w:r>
        <w:rPr>
          <w:rFonts w:hint="eastAsia" w:eastAsia="仿宋_GB2312" w:cs="Times New Roman"/>
        </w:rPr>
        <w:t>，分数</w:t>
      </w:r>
      <w:r>
        <w:rPr>
          <w:rFonts w:eastAsia="仿宋_GB2312" w:cs="Times New Roman"/>
        </w:rPr>
        <w:t>累加计算</w:t>
      </w:r>
      <w:r>
        <w:rPr>
          <w:rFonts w:hint="eastAsia" w:eastAsia="仿宋_GB2312" w:cs="Times New Roman"/>
        </w:rPr>
        <w:t>，</w:t>
      </w:r>
      <w:r>
        <w:rPr>
          <w:rFonts w:eastAsia="仿宋_GB2312" w:cs="Times New Roman"/>
        </w:rPr>
        <w:t>最高100分；</w:t>
      </w:r>
      <w:bookmarkStart w:id="0" w:name="_GoBack"/>
      <w:r>
        <w:rPr>
          <w:rFonts w:hint="eastAsia" w:eastAsia="仿宋_GB2312" w:cs="Times New Roman"/>
          <w:color w:val="FF0000"/>
          <w:lang w:val="en-US" w:eastAsia="zh-CN"/>
        </w:rPr>
        <w:t>同一种危险源因量不同只以高分档计分；同一单元内且完全相同实验条件下，多台装置可以作为1个危险源计算，例如：实验条件相似的多个水热釜放在同一个烘箱中加热，教学实验室同一实验台上每个工位一个电烙铁，等情况。</w:t>
      </w:r>
      <w:bookmarkEnd w:id="0"/>
    </w:p>
    <w:p w14:paraId="24BCE99A">
      <w:pPr>
        <w:spacing w:line="240" w:lineRule="auto"/>
        <w:ind w:firstLine="480"/>
        <w:rPr>
          <w:rFonts w:eastAsia="仿宋_GB2312" w:cs="Times New Roman"/>
        </w:rPr>
      </w:pPr>
      <w:r>
        <w:rPr>
          <w:rFonts w:eastAsia="仿宋_GB2312" w:cs="Times New Roman"/>
        </w:rPr>
        <w:t>3.</w:t>
      </w:r>
      <w:r>
        <w:rPr>
          <w:rFonts w:hint="eastAsia" w:eastAsia="仿宋_GB2312" w:cs="Times New Roman"/>
        </w:rPr>
        <w:t>实验室自制设备</w:t>
      </w:r>
      <w:r>
        <w:rPr>
          <w:rFonts w:eastAsia="仿宋_GB2312" w:cs="Times New Roman"/>
        </w:rPr>
        <w:t>，是指由使用人自行或者委托其他单位进行设计、制造、安装的，并以其为载体进行实验活动的非标设备；对标准设备进行改造也参照自制</w:t>
      </w:r>
      <w:r>
        <w:rPr>
          <w:rFonts w:hint="eastAsia" w:eastAsia="仿宋_GB2312" w:cs="Times New Roman"/>
        </w:rPr>
        <w:t>设备</w:t>
      </w:r>
      <w:r>
        <w:rPr>
          <w:rFonts w:eastAsia="仿宋_GB2312" w:cs="Times New Roman"/>
        </w:rPr>
        <w:t>进行管理。</w:t>
      </w:r>
    </w:p>
    <w:p w14:paraId="1A574CF1"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C17AB3"/>
    <w:multiLevelType w:val="singleLevel"/>
    <w:tmpl w:val="E8C17AB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A2300E8"/>
    <w:multiLevelType w:val="multilevel"/>
    <w:tmpl w:val="6A2300E8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59B018B"/>
    <w:multiLevelType w:val="multilevel"/>
    <w:tmpl w:val="759B018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71"/>
    <w:rsid w:val="00500C71"/>
    <w:rsid w:val="0053285C"/>
    <w:rsid w:val="401A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798</Characters>
  <Lines>6</Lines>
  <Paragraphs>1</Paragraphs>
  <TotalTime>6</TotalTime>
  <ScaleCrop>false</ScaleCrop>
  <LinksUpToDate>false</LinksUpToDate>
  <CharactersWithSpaces>801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2024-04-19T06:16:00Z</dcterms:created>
  <dc:creator>dell</dc:creator>
  <cp:lastModifiedBy>user</cp:lastModifiedBy>
  <dcterms:modified xsi:type="dcterms:W3CDTF">2025-09-17T01:43:15Z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eyJoZGlkIjoiMTVmZDJiMDRlMjY2NzQzZjE5YjI2M2I1YzA1YmI2MmMifQ==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0708E79AD0334FC79C9FB87D72A008B9_13</vt:lpwstr>
  </property>
</Properties>
</file>